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B58" w:rsidRPr="00814330" w:rsidRDefault="000D40B5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bookmarkStart w:id="0" w:name="_GoBack"/>
      <w:bookmarkEnd w:id="0"/>
      <w:r w:rsidRPr="00814330">
        <w:rPr>
          <w:rFonts w:cs="Helvetica"/>
          <w:b/>
          <w:color w:val="000000"/>
          <w:sz w:val="32"/>
          <w:szCs w:val="28"/>
        </w:rPr>
        <w:t>Which Graph has the Larger Standard Deviation?</w:t>
      </w:r>
    </w:p>
    <w:p w:rsidR="001D5620" w:rsidRPr="00814330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CE016B" w:rsidRPr="00814330" w:rsidRDefault="000D40B5" w:rsidP="002610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23"/>
        </w:rPr>
      </w:pPr>
      <w:r w:rsidRPr="00814330">
        <w:t>You will find 15 pairs of graphs on the next pages.  The mean for each graph (</w:t>
      </w:r>
      <w:r w:rsidRPr="00814330">
        <w:rPr>
          <w:rFonts w:ascii="Symbol" w:hAnsi="Symbol"/>
        </w:rPr>
        <w:t></w:t>
      </w:r>
      <w:r w:rsidRPr="00814330">
        <w:t xml:space="preserve">) is given </w:t>
      </w:r>
      <w:r w:rsidR="001F6F0B" w:rsidRPr="00814330">
        <w:t>to the left of each dotplot</w:t>
      </w:r>
      <w:r w:rsidRPr="00814330">
        <w:t>.</w:t>
      </w:r>
    </w:p>
    <w:p w:rsidR="002610A9" w:rsidRPr="00814330" w:rsidRDefault="002610A9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CE016B" w:rsidRPr="00814330" w:rsidRDefault="00CE016B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  <w:r w:rsidRPr="00814330">
        <w:rPr>
          <w:rFonts w:cs="Helvetica"/>
          <w:b/>
          <w:color w:val="000000"/>
          <w:szCs w:val="23"/>
        </w:rPr>
        <w:t>Discuss the Following Questions</w:t>
      </w:r>
      <w:r w:rsidRPr="00814330">
        <w:rPr>
          <w:rFonts w:cs="Helvetica"/>
          <w:b/>
          <w:color w:val="000000"/>
          <w:szCs w:val="23"/>
        </w:rPr>
        <w:tab/>
      </w:r>
    </w:p>
    <w:p w:rsidR="006161D4" w:rsidRPr="00814330" w:rsidRDefault="006161D4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i/>
          <w:color w:val="000000"/>
          <w:szCs w:val="21"/>
        </w:rPr>
      </w:pPr>
    </w:p>
    <w:p w:rsidR="00CB54DC" w:rsidRPr="00814330" w:rsidRDefault="000D40B5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814330">
        <w:t>Indicate whether one of the graphs has a larger standard deviation than the other or if the two graphs have the same standard deviation</w:t>
      </w:r>
      <w:r w:rsidRPr="00814330">
        <w:rPr>
          <w:rFonts w:cs="Helvetica"/>
          <w:color w:val="000000"/>
          <w:szCs w:val="19"/>
        </w:rPr>
        <w:t>.</w:t>
      </w:r>
    </w:p>
    <w:p w:rsidR="000D40B5" w:rsidRPr="00814330" w:rsidRDefault="000D40B5" w:rsidP="000D40B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0D40B5" w:rsidRPr="00814330" w:rsidRDefault="000D40B5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814330">
        <w:t>Try to identify the characteristics of the graphs that make the standard deviation larger or smaller</w:t>
      </w:r>
      <w:r w:rsidRPr="00814330">
        <w:rPr>
          <w:rFonts w:cs="Helvetica"/>
          <w:color w:val="000000"/>
          <w:szCs w:val="19"/>
        </w:rPr>
        <w:t>.</w:t>
      </w:r>
    </w:p>
    <w:p w:rsidR="000D40B5" w:rsidRPr="00814330" w:rsidRDefault="000D40B5" w:rsidP="000D40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</w:p>
    <w:p w:rsidR="002F095C" w:rsidRPr="00814330" w:rsidRDefault="002F095C" w:rsidP="000D40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</w:p>
    <w:p w:rsidR="002F095C" w:rsidRPr="00814330" w:rsidRDefault="002F095C" w:rsidP="000D40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</w:p>
    <w:p w:rsidR="002F095C" w:rsidRPr="00814330" w:rsidRDefault="002F095C" w:rsidP="000D40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</w:p>
    <w:p w:rsidR="00363FC7" w:rsidRPr="00814330" w:rsidRDefault="00363FC7" w:rsidP="000D40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</w:p>
    <w:p w:rsidR="00363FC7" w:rsidRPr="00814330" w:rsidRDefault="00363FC7" w:rsidP="000D40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</w:p>
    <w:p w:rsidR="002F095C" w:rsidRPr="00814330" w:rsidRDefault="002F095C" w:rsidP="000D40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b/>
        </w:rPr>
      </w:pPr>
    </w:p>
    <w:p w:rsidR="000D40B5" w:rsidRPr="00814330" w:rsidRDefault="000D40B5" w:rsidP="000D40B5">
      <w:pPr>
        <w:tabs>
          <w:tab w:val="left" w:pos="990"/>
          <w:tab w:val="left" w:pos="414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9"/>
        <w:gridCol w:w="3486"/>
        <w:gridCol w:w="1653"/>
        <w:gridCol w:w="4662"/>
      </w:tblGrid>
      <w:tr w:rsidR="00374355" w:rsidRPr="00814330">
        <w:tc>
          <w:tcPr>
            <w:tcW w:w="639" w:type="dxa"/>
          </w:tcPr>
          <w:p w:rsidR="00374355" w:rsidRPr="00814330" w:rsidRDefault="00374355" w:rsidP="000D40B5">
            <w:pPr>
              <w:tabs>
                <w:tab w:val="left" w:pos="990"/>
                <w:tab w:val="left" w:pos="4140"/>
              </w:tabs>
            </w:pPr>
            <w:r w:rsidRPr="00814330">
              <w:t>1.</w:t>
            </w:r>
          </w:p>
        </w:tc>
        <w:tc>
          <w:tcPr>
            <w:tcW w:w="3486" w:type="dxa"/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374355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1819275" cy="19335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</w:tcPr>
          <w:p w:rsidR="00856D96" w:rsidRPr="00814330" w:rsidRDefault="00856D96" w:rsidP="000D40B5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0D40B5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A91108" w:rsidP="000D40B5">
            <w:pPr>
              <w:tabs>
                <w:tab w:val="left" w:pos="990"/>
                <w:tab w:val="left" w:pos="4140"/>
              </w:tabs>
            </w:pPr>
            <w:r w:rsidRPr="00814330">
              <w:t>A</w:t>
            </w:r>
            <w:r w:rsidR="00374355" w:rsidRPr="00814330">
              <w:t xml:space="preserve">    </w:t>
            </w:r>
            <w:r w:rsidR="00374355" w:rsidRPr="00814330">
              <w:rPr>
                <w:rFonts w:cs="Times New Roman"/>
              </w:rPr>
              <w:t>μ</w:t>
            </w:r>
            <w:r w:rsidR="00374355" w:rsidRPr="00814330">
              <w:t xml:space="preserve"> = </w:t>
            </w:r>
            <w:r w:rsidR="00E41446" w:rsidRPr="00814330">
              <w:t>3.33</w:t>
            </w:r>
          </w:p>
          <w:p w:rsidR="00856D96" w:rsidRPr="00814330" w:rsidRDefault="00856D96" w:rsidP="000D40B5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0D40B5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0D40B5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0D40B5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374355" w:rsidP="000D40B5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="00E41446" w:rsidRPr="00814330">
              <w:t xml:space="preserve"> = 2.57</w:t>
            </w:r>
          </w:p>
        </w:tc>
        <w:tc>
          <w:tcPr>
            <w:tcW w:w="4662" w:type="dxa"/>
            <w:vAlign w:val="center"/>
          </w:tcPr>
          <w:p w:rsidR="00374355" w:rsidRPr="00814330" w:rsidRDefault="00374355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374355" w:rsidRPr="00814330" w:rsidRDefault="00374355" w:rsidP="005D3641">
            <w:pPr>
              <w:pStyle w:val="BodyTextIndent2"/>
              <w:jc w:val="center"/>
            </w:pPr>
          </w:p>
          <w:p w:rsidR="00374355" w:rsidRPr="00814330" w:rsidRDefault="00374355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374355" w:rsidRPr="00814330" w:rsidRDefault="00374355" w:rsidP="005D3641">
            <w:pPr>
              <w:pStyle w:val="BodyTextIndent2"/>
              <w:jc w:val="center"/>
            </w:pPr>
          </w:p>
          <w:p w:rsidR="00374355" w:rsidRPr="00814330" w:rsidRDefault="00374355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374355" w:rsidRPr="00814330">
        <w:tc>
          <w:tcPr>
            <w:tcW w:w="639" w:type="dxa"/>
          </w:tcPr>
          <w:p w:rsidR="00374355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t>2.</w:t>
            </w:r>
          </w:p>
        </w:tc>
        <w:tc>
          <w:tcPr>
            <w:tcW w:w="3486" w:type="dxa"/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784647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1866900" cy="19335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="00EA33D2" w:rsidRPr="00814330">
              <w:t xml:space="preserve"> = 3</w:t>
            </w:r>
            <w:r w:rsidRPr="00814330">
              <w:t>.33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="00EA33D2" w:rsidRPr="00814330">
              <w:t xml:space="preserve"> = 2</w:t>
            </w:r>
            <w:r w:rsidRPr="00814330">
              <w:t>.33</w:t>
            </w:r>
          </w:p>
        </w:tc>
        <w:tc>
          <w:tcPr>
            <w:tcW w:w="4662" w:type="dxa"/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374355" w:rsidRPr="00814330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374355" w:rsidRPr="00814330">
        <w:tc>
          <w:tcPr>
            <w:tcW w:w="639" w:type="dxa"/>
          </w:tcPr>
          <w:p w:rsidR="00374355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lastRenderedPageBreak/>
              <w:t>3.</w:t>
            </w:r>
          </w:p>
        </w:tc>
        <w:tc>
          <w:tcPr>
            <w:tcW w:w="3486" w:type="dxa"/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784647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1876425" cy="19431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="001F6F0B" w:rsidRPr="00814330">
              <w:t xml:space="preserve"> = 3.67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="001F6F0B" w:rsidRPr="00814330">
              <w:t xml:space="preserve"> = 0</w:t>
            </w:r>
            <w:r w:rsidRPr="00814330">
              <w:t>.33</w:t>
            </w:r>
          </w:p>
        </w:tc>
        <w:tc>
          <w:tcPr>
            <w:tcW w:w="4662" w:type="dxa"/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374355" w:rsidRPr="00814330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374355" w:rsidRPr="00814330">
        <w:tc>
          <w:tcPr>
            <w:tcW w:w="639" w:type="dxa"/>
          </w:tcPr>
          <w:p w:rsidR="00374355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t>4.</w:t>
            </w:r>
          </w:p>
        </w:tc>
        <w:tc>
          <w:tcPr>
            <w:tcW w:w="3486" w:type="dxa"/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784647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1847850" cy="19240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192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="00AB4C8E" w:rsidRPr="00814330">
              <w:t xml:space="preserve"> = 2.56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Pr="00814330">
              <w:t xml:space="preserve"> = 2.5</w:t>
            </w:r>
            <w:r w:rsidR="00AB4C8E" w:rsidRPr="00814330">
              <w:t>0</w:t>
            </w:r>
          </w:p>
        </w:tc>
        <w:tc>
          <w:tcPr>
            <w:tcW w:w="4662" w:type="dxa"/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374355" w:rsidRPr="00814330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374355" w:rsidRPr="00814330">
        <w:tc>
          <w:tcPr>
            <w:tcW w:w="639" w:type="dxa"/>
            <w:tcBorders>
              <w:bottom w:val="single" w:sz="4" w:space="0" w:color="auto"/>
            </w:tcBorders>
          </w:tcPr>
          <w:p w:rsidR="00374355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t>5.</w:t>
            </w:r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784647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1809750" cy="17240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Pr="00814330">
              <w:t xml:space="preserve"> = 2.50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Pr="00814330">
              <w:t xml:space="preserve"> = 2.50</w:t>
            </w:r>
          </w:p>
        </w:tc>
        <w:tc>
          <w:tcPr>
            <w:tcW w:w="4662" w:type="dxa"/>
            <w:tcBorders>
              <w:bottom w:val="single" w:sz="4" w:space="0" w:color="auto"/>
            </w:tcBorders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374355" w:rsidRPr="00814330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363FC7" w:rsidRPr="00814330">
        <w:tc>
          <w:tcPr>
            <w:tcW w:w="639" w:type="dxa"/>
            <w:tcBorders>
              <w:left w:val="nil"/>
              <w:right w:val="nil"/>
            </w:tcBorders>
          </w:tcPr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3486" w:type="dxa"/>
            <w:tcBorders>
              <w:left w:val="nil"/>
              <w:right w:val="nil"/>
            </w:tcBorders>
          </w:tcPr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  <w:tcBorders>
              <w:left w:val="nil"/>
              <w:right w:val="nil"/>
            </w:tcBorders>
          </w:tcPr>
          <w:p w:rsidR="00363FC7" w:rsidRPr="00814330" w:rsidRDefault="00363FC7" w:rsidP="00856D96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4662" w:type="dxa"/>
            <w:tcBorders>
              <w:left w:val="nil"/>
              <w:right w:val="nil"/>
            </w:tcBorders>
            <w:vAlign w:val="center"/>
          </w:tcPr>
          <w:p w:rsidR="00363FC7" w:rsidRPr="00814330" w:rsidRDefault="00363FC7" w:rsidP="005D3641">
            <w:pPr>
              <w:pStyle w:val="BodyTextIndent"/>
              <w:jc w:val="center"/>
            </w:pPr>
          </w:p>
        </w:tc>
      </w:tr>
      <w:tr w:rsidR="00374355" w:rsidRPr="00814330">
        <w:tc>
          <w:tcPr>
            <w:tcW w:w="639" w:type="dxa"/>
          </w:tcPr>
          <w:p w:rsidR="00374355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lastRenderedPageBreak/>
              <w:t>6.</w:t>
            </w:r>
          </w:p>
        </w:tc>
        <w:tc>
          <w:tcPr>
            <w:tcW w:w="3486" w:type="dxa"/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784647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1838325" cy="175260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Pr="00814330">
              <w:t xml:space="preserve"> = 2.50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Pr="00814330">
              <w:t xml:space="preserve"> = 2.50</w:t>
            </w:r>
          </w:p>
        </w:tc>
        <w:tc>
          <w:tcPr>
            <w:tcW w:w="4662" w:type="dxa"/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374355" w:rsidRPr="00814330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374355" w:rsidRPr="00814330">
        <w:tc>
          <w:tcPr>
            <w:tcW w:w="639" w:type="dxa"/>
          </w:tcPr>
          <w:p w:rsidR="00374355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t>7.</w:t>
            </w:r>
          </w:p>
        </w:tc>
        <w:tc>
          <w:tcPr>
            <w:tcW w:w="3486" w:type="dxa"/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784647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1895475" cy="19526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95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Pr="00814330">
              <w:t xml:space="preserve"> = 2.00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Pr="00814330">
              <w:t xml:space="preserve"> = 2.00</w:t>
            </w:r>
          </w:p>
        </w:tc>
        <w:tc>
          <w:tcPr>
            <w:tcW w:w="4662" w:type="dxa"/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374355" w:rsidRPr="00814330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374355" w:rsidRPr="00814330">
        <w:tc>
          <w:tcPr>
            <w:tcW w:w="639" w:type="dxa"/>
            <w:tcBorders>
              <w:bottom w:val="single" w:sz="4" w:space="0" w:color="auto"/>
            </w:tcBorders>
          </w:tcPr>
          <w:p w:rsidR="00374355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t>8.</w:t>
            </w:r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5D3641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1885950" cy="19335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363FC7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="005A467E" w:rsidRPr="00814330">
              <w:t xml:space="preserve"> = 2.00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374355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="005A467E" w:rsidRPr="00814330">
              <w:t xml:space="preserve"> = 1.93</w:t>
            </w:r>
          </w:p>
        </w:tc>
        <w:tc>
          <w:tcPr>
            <w:tcW w:w="4662" w:type="dxa"/>
            <w:tcBorders>
              <w:bottom w:val="single" w:sz="4" w:space="0" w:color="auto"/>
            </w:tcBorders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374355" w:rsidRPr="00814330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363FC7" w:rsidRPr="00814330">
        <w:tc>
          <w:tcPr>
            <w:tcW w:w="639" w:type="dxa"/>
            <w:tcBorders>
              <w:left w:val="nil"/>
              <w:right w:val="nil"/>
            </w:tcBorders>
          </w:tcPr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3486" w:type="dxa"/>
            <w:tcBorders>
              <w:left w:val="nil"/>
              <w:right w:val="nil"/>
            </w:tcBorders>
          </w:tcPr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  <w:tcBorders>
              <w:left w:val="nil"/>
              <w:right w:val="nil"/>
            </w:tcBorders>
          </w:tcPr>
          <w:p w:rsidR="00363FC7" w:rsidRPr="00814330" w:rsidRDefault="00363FC7" w:rsidP="00856D96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4662" w:type="dxa"/>
            <w:tcBorders>
              <w:left w:val="nil"/>
              <w:right w:val="nil"/>
            </w:tcBorders>
            <w:vAlign w:val="center"/>
          </w:tcPr>
          <w:p w:rsidR="00363FC7" w:rsidRPr="00814330" w:rsidRDefault="00363FC7" w:rsidP="005D3641">
            <w:pPr>
              <w:pStyle w:val="BodyTextIndent"/>
              <w:jc w:val="center"/>
            </w:pPr>
          </w:p>
        </w:tc>
      </w:tr>
      <w:tr w:rsidR="00856D96" w:rsidRPr="00814330">
        <w:tc>
          <w:tcPr>
            <w:tcW w:w="639" w:type="dxa"/>
          </w:tcPr>
          <w:p w:rsidR="00856D96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lastRenderedPageBreak/>
              <w:t>9.</w:t>
            </w:r>
          </w:p>
        </w:tc>
        <w:tc>
          <w:tcPr>
            <w:tcW w:w="3486" w:type="dxa"/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5D3641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1885950" cy="19431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="0007012F" w:rsidRPr="00814330">
              <w:t xml:space="preserve"> = 2.00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="0007012F" w:rsidRPr="00814330">
              <w:t xml:space="preserve"> = 1.93</w:t>
            </w:r>
          </w:p>
        </w:tc>
        <w:tc>
          <w:tcPr>
            <w:tcW w:w="4662" w:type="dxa"/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856D96" w:rsidRPr="00814330">
        <w:tc>
          <w:tcPr>
            <w:tcW w:w="639" w:type="dxa"/>
          </w:tcPr>
          <w:p w:rsidR="00856D96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t>10.</w:t>
            </w:r>
          </w:p>
        </w:tc>
        <w:tc>
          <w:tcPr>
            <w:tcW w:w="3486" w:type="dxa"/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5D3641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1990725" cy="20193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725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="00B31449" w:rsidRPr="00814330">
              <w:t xml:space="preserve"> = 5.86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Pr="00814330">
              <w:t xml:space="preserve"> = 5.</w:t>
            </w:r>
            <w:r w:rsidR="00B31449" w:rsidRPr="00814330">
              <w:t>43</w:t>
            </w:r>
          </w:p>
        </w:tc>
        <w:tc>
          <w:tcPr>
            <w:tcW w:w="4662" w:type="dxa"/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856D96" w:rsidRPr="00814330">
        <w:tc>
          <w:tcPr>
            <w:tcW w:w="639" w:type="dxa"/>
            <w:tcBorders>
              <w:bottom w:val="single" w:sz="4" w:space="0" w:color="auto"/>
            </w:tcBorders>
          </w:tcPr>
          <w:p w:rsidR="00856D96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t>11.</w:t>
            </w:r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5D3641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2047875" cy="20097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363FC7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="003B778E" w:rsidRPr="00814330">
              <w:t xml:space="preserve"> = 5.64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="003B778E" w:rsidRPr="00814330">
              <w:t xml:space="preserve"> = 5.43</w:t>
            </w:r>
          </w:p>
        </w:tc>
        <w:tc>
          <w:tcPr>
            <w:tcW w:w="4662" w:type="dxa"/>
            <w:tcBorders>
              <w:bottom w:val="single" w:sz="4" w:space="0" w:color="auto"/>
            </w:tcBorders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363FC7" w:rsidRPr="00814330">
        <w:tc>
          <w:tcPr>
            <w:tcW w:w="639" w:type="dxa"/>
            <w:tcBorders>
              <w:left w:val="nil"/>
              <w:right w:val="nil"/>
            </w:tcBorders>
          </w:tcPr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3486" w:type="dxa"/>
            <w:tcBorders>
              <w:left w:val="nil"/>
              <w:right w:val="nil"/>
            </w:tcBorders>
          </w:tcPr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  <w:tcBorders>
              <w:left w:val="nil"/>
              <w:right w:val="nil"/>
            </w:tcBorders>
          </w:tcPr>
          <w:p w:rsidR="00363FC7" w:rsidRPr="00814330" w:rsidRDefault="00363FC7" w:rsidP="00856D96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4662" w:type="dxa"/>
            <w:tcBorders>
              <w:left w:val="nil"/>
              <w:right w:val="nil"/>
            </w:tcBorders>
            <w:vAlign w:val="center"/>
          </w:tcPr>
          <w:p w:rsidR="00363FC7" w:rsidRPr="00814330" w:rsidRDefault="00363FC7" w:rsidP="005D3641">
            <w:pPr>
              <w:pStyle w:val="BodyTextIndent"/>
              <w:jc w:val="center"/>
            </w:pPr>
          </w:p>
        </w:tc>
      </w:tr>
      <w:tr w:rsidR="00856D96" w:rsidRPr="00814330">
        <w:tc>
          <w:tcPr>
            <w:tcW w:w="639" w:type="dxa"/>
          </w:tcPr>
          <w:p w:rsidR="00856D96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lastRenderedPageBreak/>
              <w:t>12.</w:t>
            </w:r>
          </w:p>
        </w:tc>
        <w:tc>
          <w:tcPr>
            <w:tcW w:w="3486" w:type="dxa"/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5D3641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2057400" cy="200977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="00814330" w:rsidRPr="00814330">
              <w:t xml:space="preserve"> = 5.48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="00814330" w:rsidRPr="00814330">
              <w:t xml:space="preserve"> = 5.33</w:t>
            </w:r>
          </w:p>
        </w:tc>
        <w:tc>
          <w:tcPr>
            <w:tcW w:w="4662" w:type="dxa"/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856D96" w:rsidRPr="00814330">
        <w:tc>
          <w:tcPr>
            <w:tcW w:w="639" w:type="dxa"/>
          </w:tcPr>
          <w:p w:rsidR="00856D96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t>13.</w:t>
            </w:r>
          </w:p>
        </w:tc>
        <w:tc>
          <w:tcPr>
            <w:tcW w:w="3486" w:type="dxa"/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5D3641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2076450" cy="2019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="00814330" w:rsidRPr="00814330">
              <w:t xml:space="preserve"> = 5.00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="00814330" w:rsidRPr="00814330">
              <w:t xml:space="preserve"> = 8.29</w:t>
            </w:r>
          </w:p>
        </w:tc>
        <w:tc>
          <w:tcPr>
            <w:tcW w:w="4662" w:type="dxa"/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856D96" w:rsidRPr="00814330">
        <w:tc>
          <w:tcPr>
            <w:tcW w:w="639" w:type="dxa"/>
            <w:tcBorders>
              <w:bottom w:val="single" w:sz="4" w:space="0" w:color="auto"/>
            </w:tcBorders>
          </w:tcPr>
          <w:p w:rsidR="00856D96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t>14.</w:t>
            </w:r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5D3641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2066925" cy="19907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925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363FC7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="003B778E" w:rsidRPr="00814330">
              <w:t xml:space="preserve"> = 3.38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="003B778E" w:rsidRPr="00814330">
              <w:t xml:space="preserve"> = 6.15</w:t>
            </w:r>
          </w:p>
        </w:tc>
        <w:tc>
          <w:tcPr>
            <w:tcW w:w="4662" w:type="dxa"/>
            <w:tcBorders>
              <w:bottom w:val="single" w:sz="4" w:space="0" w:color="auto"/>
            </w:tcBorders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  <w:tr w:rsidR="00363FC7" w:rsidRPr="00814330">
        <w:tc>
          <w:tcPr>
            <w:tcW w:w="639" w:type="dxa"/>
            <w:tcBorders>
              <w:left w:val="nil"/>
              <w:right w:val="nil"/>
            </w:tcBorders>
          </w:tcPr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3486" w:type="dxa"/>
            <w:tcBorders>
              <w:left w:val="nil"/>
              <w:right w:val="nil"/>
            </w:tcBorders>
          </w:tcPr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  <w:p w:rsidR="00363FC7" w:rsidRPr="00814330" w:rsidRDefault="00363FC7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  <w:tcBorders>
              <w:left w:val="nil"/>
              <w:right w:val="nil"/>
            </w:tcBorders>
          </w:tcPr>
          <w:p w:rsidR="00363FC7" w:rsidRPr="00814330" w:rsidRDefault="00363FC7" w:rsidP="00856D96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4662" w:type="dxa"/>
            <w:tcBorders>
              <w:left w:val="nil"/>
              <w:right w:val="nil"/>
            </w:tcBorders>
            <w:vAlign w:val="center"/>
          </w:tcPr>
          <w:p w:rsidR="00363FC7" w:rsidRPr="00814330" w:rsidRDefault="00363FC7" w:rsidP="005D3641">
            <w:pPr>
              <w:pStyle w:val="BodyTextIndent"/>
              <w:jc w:val="center"/>
            </w:pPr>
          </w:p>
        </w:tc>
      </w:tr>
      <w:tr w:rsidR="00856D96">
        <w:tc>
          <w:tcPr>
            <w:tcW w:w="639" w:type="dxa"/>
          </w:tcPr>
          <w:p w:rsidR="00856D96" w:rsidRPr="00814330" w:rsidRDefault="00856D96" w:rsidP="000D40B5">
            <w:pPr>
              <w:tabs>
                <w:tab w:val="left" w:pos="990"/>
                <w:tab w:val="left" w:pos="4140"/>
              </w:tabs>
            </w:pPr>
            <w:r w:rsidRPr="00814330">
              <w:lastRenderedPageBreak/>
              <w:t>15.</w:t>
            </w:r>
          </w:p>
        </w:tc>
        <w:tc>
          <w:tcPr>
            <w:tcW w:w="3486" w:type="dxa"/>
          </w:tcPr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5D3641" w:rsidP="000D40B5">
            <w:pPr>
              <w:tabs>
                <w:tab w:val="left" w:pos="990"/>
                <w:tab w:val="left" w:pos="4140"/>
              </w:tabs>
            </w:pPr>
            <w:r w:rsidRPr="00814330">
              <w:rPr>
                <w:noProof/>
              </w:rPr>
              <w:drawing>
                <wp:inline distT="0" distB="0" distL="0" distR="0">
                  <wp:extent cx="1962150" cy="2162175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3641" w:rsidRPr="00814330" w:rsidRDefault="005D3641" w:rsidP="000D40B5">
            <w:pPr>
              <w:tabs>
                <w:tab w:val="left" w:pos="990"/>
                <w:tab w:val="left" w:pos="4140"/>
              </w:tabs>
            </w:pPr>
          </w:p>
        </w:tc>
        <w:tc>
          <w:tcPr>
            <w:tcW w:w="1653" w:type="dxa"/>
          </w:tcPr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5D3641" w:rsidRPr="00814330" w:rsidRDefault="005D3641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A     </w:t>
            </w:r>
            <w:r w:rsidRPr="00814330">
              <w:rPr>
                <w:rFonts w:cs="Times New Roman"/>
              </w:rPr>
              <w:t>μ</w:t>
            </w:r>
            <w:r w:rsidR="00C81C7D" w:rsidRPr="00814330">
              <w:t xml:space="preserve"> = 3.38</w:t>
            </w: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</w:p>
          <w:p w:rsidR="00856D96" w:rsidRPr="00814330" w:rsidRDefault="00856D96" w:rsidP="00856D96">
            <w:pPr>
              <w:tabs>
                <w:tab w:val="left" w:pos="990"/>
                <w:tab w:val="left" w:pos="4140"/>
              </w:tabs>
            </w:pPr>
            <w:r w:rsidRPr="00814330">
              <w:t xml:space="preserve">B     </w:t>
            </w:r>
            <w:r w:rsidRPr="00814330">
              <w:rPr>
                <w:rFonts w:cs="Times New Roman"/>
              </w:rPr>
              <w:t>μ</w:t>
            </w:r>
            <w:r w:rsidR="00C81C7D" w:rsidRPr="00814330">
              <w:t xml:space="preserve"> = 5.86</w:t>
            </w:r>
          </w:p>
        </w:tc>
        <w:tc>
          <w:tcPr>
            <w:tcW w:w="4662" w:type="dxa"/>
            <w:vAlign w:val="center"/>
          </w:tcPr>
          <w:p w:rsidR="00856D96" w:rsidRPr="00814330" w:rsidRDefault="00856D96" w:rsidP="005D3641">
            <w:pPr>
              <w:pStyle w:val="BodyTextIndent"/>
              <w:jc w:val="center"/>
            </w:pPr>
            <w:r w:rsidRPr="00814330">
              <w:t>A has a larger standard deviation than B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Pr="00814330" w:rsidRDefault="00856D96" w:rsidP="005D3641">
            <w:pPr>
              <w:pStyle w:val="BodyTextIndent2"/>
              <w:jc w:val="center"/>
            </w:pPr>
            <w:r w:rsidRPr="00814330">
              <w:t>B has a larger standard deviation than A</w:t>
            </w:r>
          </w:p>
          <w:p w:rsidR="00856D96" w:rsidRPr="00814330" w:rsidRDefault="00856D96" w:rsidP="005D3641">
            <w:pPr>
              <w:pStyle w:val="BodyTextIndent2"/>
              <w:jc w:val="center"/>
            </w:pPr>
          </w:p>
          <w:p w:rsidR="00856D96" w:rsidRDefault="00856D96" w:rsidP="005D3641">
            <w:pPr>
              <w:tabs>
                <w:tab w:val="left" w:pos="990"/>
                <w:tab w:val="left" w:pos="4140"/>
              </w:tabs>
              <w:jc w:val="center"/>
            </w:pPr>
            <w:r w:rsidRPr="00814330">
              <w:t>Both graphs have the same standard deviation</w:t>
            </w:r>
          </w:p>
        </w:tc>
      </w:tr>
    </w:tbl>
    <w:p w:rsidR="00856D96" w:rsidRDefault="00856D96" w:rsidP="000D40B5">
      <w:pPr>
        <w:spacing w:before="160"/>
        <w:rPr>
          <w:rFonts w:ascii="Times" w:eastAsia="Times New Roman" w:hAnsi="Times" w:cs="Times New Roman"/>
          <w:b/>
          <w:szCs w:val="20"/>
        </w:rPr>
      </w:pPr>
    </w:p>
    <w:p w:rsidR="000D40B5" w:rsidRPr="0095647D" w:rsidRDefault="000D40B5" w:rsidP="0095647D">
      <w:pPr>
        <w:rPr>
          <w:b/>
          <w:sz w:val="32"/>
        </w:rPr>
      </w:pPr>
    </w:p>
    <w:sectPr w:rsidR="000D40B5" w:rsidRPr="0095647D" w:rsidSect="005E6375">
      <w:headerReference w:type="default" r:id="rId24"/>
      <w:footerReference w:type="even" r:id="rId25"/>
      <w:footerReference w:type="default" r:id="rId26"/>
      <w:pgSz w:w="12240" w:h="15840"/>
      <w:pgMar w:top="1296" w:right="1008" w:bottom="1296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3D1" w:rsidRDefault="002933D1">
      <w:pPr>
        <w:spacing w:after="0"/>
      </w:pPr>
      <w:r>
        <w:separator/>
      </w:r>
    </w:p>
  </w:endnote>
  <w:endnote w:type="continuationSeparator" w:id="0">
    <w:p w:rsidR="002933D1" w:rsidRDefault="002933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449" w:rsidRDefault="00CD3827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44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449" w:rsidRDefault="00B31449" w:rsidP="004B61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449" w:rsidRDefault="00CD3827" w:rsidP="00B3144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44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7EAA">
      <w:rPr>
        <w:rStyle w:val="PageNumber"/>
        <w:noProof/>
      </w:rPr>
      <w:t>6</w:t>
    </w:r>
    <w:r>
      <w:rPr>
        <w:rStyle w:val="PageNumber"/>
      </w:rPr>
      <w:fldChar w:fldCharType="end"/>
    </w:r>
  </w:p>
  <w:p w:rsidR="00F57EAA" w:rsidRPr="00D541A0" w:rsidRDefault="00F57EAA" w:rsidP="00F57EAA">
    <w:pPr>
      <w:pStyle w:val="Footer"/>
      <w:ind w:right="360"/>
      <w:rPr>
        <w:i/>
        <w:sz w:val="20"/>
      </w:rPr>
    </w:pPr>
    <w:r>
      <w:rPr>
        <w:i/>
        <w:sz w:val="20"/>
      </w:rPr>
      <w:t>Adapted from an activity used by Joan Garfield and Michelle Everson at the University of Minnesota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3D1" w:rsidRDefault="002933D1">
      <w:pPr>
        <w:spacing w:after="0"/>
      </w:pPr>
      <w:r>
        <w:separator/>
      </w:r>
    </w:p>
  </w:footnote>
  <w:footnote w:type="continuationSeparator" w:id="0">
    <w:p w:rsidR="002933D1" w:rsidRDefault="002933D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449" w:rsidRPr="00246744" w:rsidRDefault="00B31449" w:rsidP="000D40B5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Which Graph has the Larger Standard Deviation?</w:t>
    </w:r>
  </w:p>
  <w:p w:rsidR="00B31449" w:rsidRPr="00C25FF1" w:rsidRDefault="00B31449" w:rsidP="00C25F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F8A8F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2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30"/>
  </w:num>
  <w:num w:numId="4">
    <w:abstractNumId w:val="3"/>
  </w:num>
  <w:num w:numId="5">
    <w:abstractNumId w:val="8"/>
  </w:num>
  <w:num w:numId="6">
    <w:abstractNumId w:val="29"/>
  </w:num>
  <w:num w:numId="7">
    <w:abstractNumId w:val="14"/>
  </w:num>
  <w:num w:numId="8">
    <w:abstractNumId w:val="17"/>
  </w:num>
  <w:num w:numId="9">
    <w:abstractNumId w:val="10"/>
  </w:num>
  <w:num w:numId="10">
    <w:abstractNumId w:val="24"/>
  </w:num>
  <w:num w:numId="11">
    <w:abstractNumId w:val="15"/>
  </w:num>
  <w:num w:numId="12">
    <w:abstractNumId w:val="6"/>
  </w:num>
  <w:num w:numId="13">
    <w:abstractNumId w:val="18"/>
  </w:num>
  <w:num w:numId="14">
    <w:abstractNumId w:val="20"/>
  </w:num>
  <w:num w:numId="15">
    <w:abstractNumId w:val="1"/>
  </w:num>
  <w:num w:numId="16">
    <w:abstractNumId w:val="22"/>
  </w:num>
  <w:num w:numId="17">
    <w:abstractNumId w:val="26"/>
  </w:num>
  <w:num w:numId="18">
    <w:abstractNumId w:val="11"/>
  </w:num>
  <w:num w:numId="19">
    <w:abstractNumId w:val="0"/>
  </w:num>
  <w:num w:numId="20">
    <w:abstractNumId w:val="21"/>
  </w:num>
  <w:num w:numId="21">
    <w:abstractNumId w:val="23"/>
  </w:num>
  <w:num w:numId="22">
    <w:abstractNumId w:val="28"/>
  </w:num>
  <w:num w:numId="23">
    <w:abstractNumId w:val="27"/>
  </w:num>
  <w:num w:numId="24">
    <w:abstractNumId w:val="25"/>
  </w:num>
  <w:num w:numId="25">
    <w:abstractNumId w:val="7"/>
  </w:num>
  <w:num w:numId="26">
    <w:abstractNumId w:val="16"/>
  </w:num>
  <w:num w:numId="27">
    <w:abstractNumId w:val="2"/>
  </w:num>
  <w:num w:numId="28">
    <w:abstractNumId w:val="9"/>
  </w:num>
  <w:num w:numId="29">
    <w:abstractNumId w:val="4"/>
  </w:num>
  <w:num w:numId="30">
    <w:abstractNumId w:val="5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1D4"/>
    <w:rsid w:val="00011C6E"/>
    <w:rsid w:val="0002024F"/>
    <w:rsid w:val="00027081"/>
    <w:rsid w:val="00046C4E"/>
    <w:rsid w:val="0005159E"/>
    <w:rsid w:val="00065790"/>
    <w:rsid w:val="0007012F"/>
    <w:rsid w:val="000729AF"/>
    <w:rsid w:val="00087782"/>
    <w:rsid w:val="0009774B"/>
    <w:rsid w:val="000C0597"/>
    <w:rsid w:val="000D40B5"/>
    <w:rsid w:val="000D5675"/>
    <w:rsid w:val="000F09D0"/>
    <w:rsid w:val="000F640E"/>
    <w:rsid w:val="00101D7A"/>
    <w:rsid w:val="0013636A"/>
    <w:rsid w:val="00136E5A"/>
    <w:rsid w:val="001419A2"/>
    <w:rsid w:val="00141CD2"/>
    <w:rsid w:val="00146D43"/>
    <w:rsid w:val="001522BA"/>
    <w:rsid w:val="001727DD"/>
    <w:rsid w:val="00174960"/>
    <w:rsid w:val="00175B06"/>
    <w:rsid w:val="0018185A"/>
    <w:rsid w:val="00181B20"/>
    <w:rsid w:val="0018295E"/>
    <w:rsid w:val="00196E14"/>
    <w:rsid w:val="001C466D"/>
    <w:rsid w:val="001D5620"/>
    <w:rsid w:val="001F6229"/>
    <w:rsid w:val="001F6F0B"/>
    <w:rsid w:val="00200D44"/>
    <w:rsid w:val="0021133E"/>
    <w:rsid w:val="00231738"/>
    <w:rsid w:val="002455D6"/>
    <w:rsid w:val="00245F71"/>
    <w:rsid w:val="00251CDA"/>
    <w:rsid w:val="0025792F"/>
    <w:rsid w:val="00261047"/>
    <w:rsid w:val="002610A9"/>
    <w:rsid w:val="0026292E"/>
    <w:rsid w:val="002772A5"/>
    <w:rsid w:val="002933D1"/>
    <w:rsid w:val="00293C1D"/>
    <w:rsid w:val="002A698A"/>
    <w:rsid w:val="002C2A93"/>
    <w:rsid w:val="002E3D7D"/>
    <w:rsid w:val="002F095C"/>
    <w:rsid w:val="002F0C4C"/>
    <w:rsid w:val="002F7201"/>
    <w:rsid w:val="00301900"/>
    <w:rsid w:val="003107C2"/>
    <w:rsid w:val="00320900"/>
    <w:rsid w:val="00321C3D"/>
    <w:rsid w:val="003228F4"/>
    <w:rsid w:val="00346B3B"/>
    <w:rsid w:val="00363FC7"/>
    <w:rsid w:val="003664B5"/>
    <w:rsid w:val="00366AC5"/>
    <w:rsid w:val="00370589"/>
    <w:rsid w:val="0037112C"/>
    <w:rsid w:val="00371DDF"/>
    <w:rsid w:val="00372A26"/>
    <w:rsid w:val="00374355"/>
    <w:rsid w:val="00375309"/>
    <w:rsid w:val="003855FD"/>
    <w:rsid w:val="003A2DCE"/>
    <w:rsid w:val="003B778E"/>
    <w:rsid w:val="003C19C2"/>
    <w:rsid w:val="003C4546"/>
    <w:rsid w:val="003C5C39"/>
    <w:rsid w:val="003C7BA5"/>
    <w:rsid w:val="003D7247"/>
    <w:rsid w:val="003F1993"/>
    <w:rsid w:val="003F7BD5"/>
    <w:rsid w:val="00405BBF"/>
    <w:rsid w:val="004127FD"/>
    <w:rsid w:val="004200E1"/>
    <w:rsid w:val="00423554"/>
    <w:rsid w:val="00427D7D"/>
    <w:rsid w:val="00427E0E"/>
    <w:rsid w:val="00446AB1"/>
    <w:rsid w:val="004554F0"/>
    <w:rsid w:val="00463C1C"/>
    <w:rsid w:val="004663EC"/>
    <w:rsid w:val="00475921"/>
    <w:rsid w:val="0048325A"/>
    <w:rsid w:val="00484435"/>
    <w:rsid w:val="0048715F"/>
    <w:rsid w:val="00494ED3"/>
    <w:rsid w:val="00497C88"/>
    <w:rsid w:val="004B270F"/>
    <w:rsid w:val="004B4BD6"/>
    <w:rsid w:val="004B616C"/>
    <w:rsid w:val="004D4935"/>
    <w:rsid w:val="004E15A7"/>
    <w:rsid w:val="004F6203"/>
    <w:rsid w:val="00502AF8"/>
    <w:rsid w:val="00507860"/>
    <w:rsid w:val="005204E5"/>
    <w:rsid w:val="00522AA8"/>
    <w:rsid w:val="00524A4C"/>
    <w:rsid w:val="005512A8"/>
    <w:rsid w:val="00556376"/>
    <w:rsid w:val="00581398"/>
    <w:rsid w:val="005976C9"/>
    <w:rsid w:val="005A467E"/>
    <w:rsid w:val="005B6FFA"/>
    <w:rsid w:val="005D3641"/>
    <w:rsid w:val="005D793C"/>
    <w:rsid w:val="005E6375"/>
    <w:rsid w:val="005F404D"/>
    <w:rsid w:val="006061F9"/>
    <w:rsid w:val="006118C3"/>
    <w:rsid w:val="006146C5"/>
    <w:rsid w:val="006161D4"/>
    <w:rsid w:val="00621031"/>
    <w:rsid w:val="00640F66"/>
    <w:rsid w:val="00653F62"/>
    <w:rsid w:val="00654170"/>
    <w:rsid w:val="00657F9F"/>
    <w:rsid w:val="00660240"/>
    <w:rsid w:val="00674822"/>
    <w:rsid w:val="00675574"/>
    <w:rsid w:val="00692182"/>
    <w:rsid w:val="006960FE"/>
    <w:rsid w:val="006A4BFE"/>
    <w:rsid w:val="006A5AA3"/>
    <w:rsid w:val="006C6F77"/>
    <w:rsid w:val="006E712B"/>
    <w:rsid w:val="006F2B19"/>
    <w:rsid w:val="007020AF"/>
    <w:rsid w:val="00703CE9"/>
    <w:rsid w:val="00707D3C"/>
    <w:rsid w:val="00723B58"/>
    <w:rsid w:val="00740D1D"/>
    <w:rsid w:val="0075558B"/>
    <w:rsid w:val="0075688D"/>
    <w:rsid w:val="00760DEC"/>
    <w:rsid w:val="00775A41"/>
    <w:rsid w:val="00784647"/>
    <w:rsid w:val="00786526"/>
    <w:rsid w:val="00787C63"/>
    <w:rsid w:val="007A697D"/>
    <w:rsid w:val="007B3802"/>
    <w:rsid w:val="007C2019"/>
    <w:rsid w:val="007D01EB"/>
    <w:rsid w:val="007D3A5B"/>
    <w:rsid w:val="007D4E27"/>
    <w:rsid w:val="00801A4D"/>
    <w:rsid w:val="008026B8"/>
    <w:rsid w:val="00805967"/>
    <w:rsid w:val="008140AE"/>
    <w:rsid w:val="00814330"/>
    <w:rsid w:val="00820C26"/>
    <w:rsid w:val="008261F0"/>
    <w:rsid w:val="008329CE"/>
    <w:rsid w:val="00833504"/>
    <w:rsid w:val="008374C2"/>
    <w:rsid w:val="00837FC5"/>
    <w:rsid w:val="00850462"/>
    <w:rsid w:val="00856D96"/>
    <w:rsid w:val="008A700B"/>
    <w:rsid w:val="008B64B1"/>
    <w:rsid w:val="008C1C84"/>
    <w:rsid w:val="008C415F"/>
    <w:rsid w:val="008D3A88"/>
    <w:rsid w:val="008D5757"/>
    <w:rsid w:val="008F19D9"/>
    <w:rsid w:val="008F67C3"/>
    <w:rsid w:val="00903208"/>
    <w:rsid w:val="00920C77"/>
    <w:rsid w:val="00922D70"/>
    <w:rsid w:val="00923063"/>
    <w:rsid w:val="00936CF4"/>
    <w:rsid w:val="00940BC2"/>
    <w:rsid w:val="0095647D"/>
    <w:rsid w:val="00970C82"/>
    <w:rsid w:val="0097680B"/>
    <w:rsid w:val="00976E6D"/>
    <w:rsid w:val="00980CD3"/>
    <w:rsid w:val="009B05D1"/>
    <w:rsid w:val="009D260E"/>
    <w:rsid w:val="009D631E"/>
    <w:rsid w:val="009F0FE4"/>
    <w:rsid w:val="009F2D0A"/>
    <w:rsid w:val="00A15694"/>
    <w:rsid w:val="00A233A7"/>
    <w:rsid w:val="00A3462D"/>
    <w:rsid w:val="00A36214"/>
    <w:rsid w:val="00A44881"/>
    <w:rsid w:val="00A45C5B"/>
    <w:rsid w:val="00A478C5"/>
    <w:rsid w:val="00A52BB5"/>
    <w:rsid w:val="00A6377E"/>
    <w:rsid w:val="00A65A6B"/>
    <w:rsid w:val="00A7484A"/>
    <w:rsid w:val="00A8754B"/>
    <w:rsid w:val="00A91108"/>
    <w:rsid w:val="00AA5D0A"/>
    <w:rsid w:val="00AB4C8E"/>
    <w:rsid w:val="00AD2309"/>
    <w:rsid w:val="00AD4165"/>
    <w:rsid w:val="00AD49E2"/>
    <w:rsid w:val="00AD6CA4"/>
    <w:rsid w:val="00AE59D6"/>
    <w:rsid w:val="00AE6B00"/>
    <w:rsid w:val="00AF33FF"/>
    <w:rsid w:val="00AF7A92"/>
    <w:rsid w:val="00B2078C"/>
    <w:rsid w:val="00B20ED7"/>
    <w:rsid w:val="00B253FD"/>
    <w:rsid w:val="00B305A3"/>
    <w:rsid w:val="00B31449"/>
    <w:rsid w:val="00B40DF8"/>
    <w:rsid w:val="00B51F99"/>
    <w:rsid w:val="00B53714"/>
    <w:rsid w:val="00B557FA"/>
    <w:rsid w:val="00B615E5"/>
    <w:rsid w:val="00B75F52"/>
    <w:rsid w:val="00B776FB"/>
    <w:rsid w:val="00B828A1"/>
    <w:rsid w:val="00B94282"/>
    <w:rsid w:val="00BB3D81"/>
    <w:rsid w:val="00BC0C8F"/>
    <w:rsid w:val="00BC60AC"/>
    <w:rsid w:val="00BC7352"/>
    <w:rsid w:val="00BD0E2A"/>
    <w:rsid w:val="00BD78A6"/>
    <w:rsid w:val="00BE16E3"/>
    <w:rsid w:val="00BE21E3"/>
    <w:rsid w:val="00BE39E0"/>
    <w:rsid w:val="00BF4BF9"/>
    <w:rsid w:val="00BF5160"/>
    <w:rsid w:val="00C05E87"/>
    <w:rsid w:val="00C16D91"/>
    <w:rsid w:val="00C20D1A"/>
    <w:rsid w:val="00C22FA2"/>
    <w:rsid w:val="00C24CA9"/>
    <w:rsid w:val="00C25FF1"/>
    <w:rsid w:val="00C26CC6"/>
    <w:rsid w:val="00C30E71"/>
    <w:rsid w:val="00C33A29"/>
    <w:rsid w:val="00C51233"/>
    <w:rsid w:val="00C523C5"/>
    <w:rsid w:val="00C56321"/>
    <w:rsid w:val="00C628CB"/>
    <w:rsid w:val="00C62F7F"/>
    <w:rsid w:val="00C63E35"/>
    <w:rsid w:val="00C66F6C"/>
    <w:rsid w:val="00C72756"/>
    <w:rsid w:val="00C81C7D"/>
    <w:rsid w:val="00C82EFE"/>
    <w:rsid w:val="00C831FE"/>
    <w:rsid w:val="00C906B0"/>
    <w:rsid w:val="00C91F5B"/>
    <w:rsid w:val="00C94A09"/>
    <w:rsid w:val="00CB0687"/>
    <w:rsid w:val="00CB1F5C"/>
    <w:rsid w:val="00CB2F06"/>
    <w:rsid w:val="00CB54DC"/>
    <w:rsid w:val="00CC205B"/>
    <w:rsid w:val="00CC267E"/>
    <w:rsid w:val="00CD1DEA"/>
    <w:rsid w:val="00CD3827"/>
    <w:rsid w:val="00CE016B"/>
    <w:rsid w:val="00CF2011"/>
    <w:rsid w:val="00CF4BE4"/>
    <w:rsid w:val="00D10E22"/>
    <w:rsid w:val="00D1231A"/>
    <w:rsid w:val="00D16916"/>
    <w:rsid w:val="00D21D15"/>
    <w:rsid w:val="00D26A0B"/>
    <w:rsid w:val="00D53874"/>
    <w:rsid w:val="00D53D33"/>
    <w:rsid w:val="00D541A0"/>
    <w:rsid w:val="00D62CFA"/>
    <w:rsid w:val="00D64538"/>
    <w:rsid w:val="00D936A2"/>
    <w:rsid w:val="00DA031D"/>
    <w:rsid w:val="00DA13E2"/>
    <w:rsid w:val="00DD432F"/>
    <w:rsid w:val="00DD4944"/>
    <w:rsid w:val="00DF3C10"/>
    <w:rsid w:val="00E317AC"/>
    <w:rsid w:val="00E31A78"/>
    <w:rsid w:val="00E342DB"/>
    <w:rsid w:val="00E41446"/>
    <w:rsid w:val="00E61FE6"/>
    <w:rsid w:val="00E815BC"/>
    <w:rsid w:val="00E83D4E"/>
    <w:rsid w:val="00E86AC0"/>
    <w:rsid w:val="00E95AB6"/>
    <w:rsid w:val="00EA2806"/>
    <w:rsid w:val="00EA33D2"/>
    <w:rsid w:val="00EA741A"/>
    <w:rsid w:val="00EB50B5"/>
    <w:rsid w:val="00EB6833"/>
    <w:rsid w:val="00ED03B6"/>
    <w:rsid w:val="00EE57B3"/>
    <w:rsid w:val="00EF321A"/>
    <w:rsid w:val="00EF4B98"/>
    <w:rsid w:val="00F57EAA"/>
    <w:rsid w:val="00F61D69"/>
    <w:rsid w:val="00F621D5"/>
    <w:rsid w:val="00F75886"/>
    <w:rsid w:val="00F80DB4"/>
    <w:rsid w:val="00F84E0C"/>
    <w:rsid w:val="00F85F0A"/>
    <w:rsid w:val="00F90A0D"/>
    <w:rsid w:val="00F9431E"/>
    <w:rsid w:val="00F9492B"/>
    <w:rsid w:val="00FA0BC9"/>
    <w:rsid w:val="00FA12FD"/>
    <w:rsid w:val="00FB3755"/>
    <w:rsid w:val="00FB5990"/>
    <w:rsid w:val="00FC6579"/>
    <w:rsid w:val="00FE331A"/>
    <w:rsid w:val="00FE3EA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0D40B5"/>
    <w:pPr>
      <w:keepNext/>
      <w:spacing w:after="0"/>
      <w:jc w:val="center"/>
      <w:outlineLvl w:val="0"/>
    </w:pPr>
    <w:rPr>
      <w:rFonts w:ascii="Times" w:eastAsia="Times New Roman" w:hAnsi="Times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0D40B5"/>
    <w:pPr>
      <w:keepNext/>
      <w:spacing w:before="100" w:after="160"/>
      <w:outlineLvl w:val="1"/>
    </w:pPr>
    <w:rPr>
      <w:rFonts w:ascii="Times" w:eastAsia="Times" w:hAnsi="Times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0D40B5"/>
    <w:rPr>
      <w:rFonts w:ascii="Times" w:eastAsia="Times New Roman" w:hAnsi="Times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0D40B5"/>
    <w:rPr>
      <w:rFonts w:ascii="Times" w:eastAsia="Times" w:hAnsi="Times" w:cs="Times New Roman"/>
      <w:b/>
      <w:sz w:val="32"/>
      <w:szCs w:val="20"/>
    </w:rPr>
  </w:style>
  <w:style w:type="paragraph" w:customStyle="1" w:styleId="Record">
    <w:name w:val="Record"/>
    <w:basedOn w:val="Normal"/>
    <w:rsid w:val="000D40B5"/>
    <w:pPr>
      <w:tabs>
        <w:tab w:val="left" w:pos="2160"/>
        <w:tab w:val="left" w:pos="4320"/>
        <w:tab w:val="left" w:pos="6480"/>
      </w:tabs>
      <w:spacing w:after="0"/>
    </w:pPr>
    <w:rPr>
      <w:rFonts w:ascii="New York" w:eastAsia="Times New Roman" w:hAnsi="New York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0D40B5"/>
    <w:pPr>
      <w:spacing w:before="160" w:after="0"/>
      <w:ind w:left="446" w:hanging="446"/>
    </w:pPr>
    <w:rPr>
      <w:rFonts w:ascii="Times" w:eastAsia="Times" w:hAnsi="Times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D40B5"/>
    <w:rPr>
      <w:rFonts w:ascii="Times" w:eastAsia="Times" w:hAnsi="Times" w:cs="Times New Roman"/>
      <w:szCs w:val="20"/>
    </w:rPr>
  </w:style>
  <w:style w:type="paragraph" w:styleId="BodyTextIndent2">
    <w:name w:val="Body Text Indent 2"/>
    <w:basedOn w:val="Normal"/>
    <w:link w:val="BodyTextIndent2Char"/>
    <w:rsid w:val="000D40B5"/>
    <w:pPr>
      <w:spacing w:after="0"/>
      <w:ind w:left="360" w:hanging="360"/>
    </w:pPr>
    <w:rPr>
      <w:rFonts w:eastAsia="Times New Roman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D40B5"/>
    <w:rPr>
      <w:rFonts w:ascii="Times New Roman" w:eastAsia="Times New Roman" w:hAnsi="Times New Roman" w:cs="Times New Roman"/>
      <w:szCs w:val="20"/>
    </w:rPr>
  </w:style>
  <w:style w:type="table" w:styleId="TableGrid">
    <w:name w:val="Table Grid"/>
    <w:basedOn w:val="TableNormal"/>
    <w:rsid w:val="0037435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3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3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4">
    <w:name w:val="footer"/>
    <w:basedOn w:val="Normal"/>
    <w:link w:val="BalloonTextChar5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5">
    <w:name w:val="Footer Char"/>
    <w:basedOn w:val="DefaultParagraphFont"/>
    <w:link w:val="BalloonTextChar4"/>
    <w:uiPriority w:val="99"/>
    <w:rsid w:val="006161D4"/>
    <w:rPr>
      <w:rFonts w:ascii="Times New Roman" w:hAnsi="Times New Roman"/>
      <w:sz w:val="24"/>
      <w:szCs w:val="24"/>
    </w:rPr>
  </w:style>
  <w:style w:type="character" w:styleId="BalloonTextChar1">
    <w:name w:val="page number"/>
    <w:basedOn w:val="DefaultParagraphFont"/>
    <w:uiPriority w:val="99"/>
    <w:semiHidden/>
    <w:unhideWhenUsed/>
    <w:rsid w:val="006161D4"/>
  </w:style>
  <w:style w:type="paragraph" w:styleId="Footer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FooterChar">
    <w:name w:val="header"/>
    <w:basedOn w:val="Normal"/>
    <w:link w:val="PageNumbe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PageNumber">
    <w:name w:val="Header Char"/>
    <w:basedOn w:val="DefaultParagraphFont"/>
    <w:link w:val="FooterChar"/>
    <w:uiPriority w:val="99"/>
    <w:rsid w:val="004B616C"/>
    <w:rPr>
      <w:rFonts w:ascii="Times New Roman" w:hAnsi="Times New Roman"/>
      <w:sz w:val="24"/>
      <w:szCs w:val="24"/>
    </w:rPr>
  </w:style>
  <w:style w:type="paragraph" w:styleId="ListParagraph">
    <w:name w:val="footnote text"/>
    <w:basedOn w:val="Normal"/>
    <w:link w:val="Header"/>
    <w:rsid w:val="00CC205B"/>
    <w:pPr>
      <w:spacing w:after="0"/>
    </w:pPr>
  </w:style>
  <w:style w:type="character" w:customStyle="1" w:styleId="Header">
    <w:name w:val="Footnote Text Char"/>
    <w:basedOn w:val="DefaultParagraphFont"/>
    <w:link w:val="ListParagraph"/>
    <w:rsid w:val="00CC205B"/>
    <w:rPr>
      <w:rFonts w:ascii="Times New Roman" w:hAnsi="Times New Roman"/>
    </w:rPr>
  </w:style>
  <w:style w:type="character" w:styleId="HeaderChar">
    <w:name w:val="footnote reference"/>
    <w:basedOn w:val="DefaultParagraphFont"/>
    <w:rsid w:val="00CC205B"/>
    <w:rPr>
      <w:vertAlign w:val="superscript"/>
    </w:rPr>
  </w:style>
  <w:style w:type="character" w:styleId="FootnoteText">
    <w:name w:val="Hyperlink"/>
    <w:basedOn w:val="DefaultParagraphFont"/>
    <w:rsid w:val="00FA0BC9"/>
    <w:rPr>
      <w:color w:val="0000FF" w:themeColor="hyperlink"/>
      <w:u w:val="single"/>
    </w:rPr>
  </w:style>
  <w:style w:type="character" w:styleId="FootnoteTextChar">
    <w:name w:val="annotation reference"/>
    <w:basedOn w:val="DefaultParagraphFont"/>
    <w:rsid w:val="00F61D69"/>
    <w:rPr>
      <w:sz w:val="18"/>
      <w:szCs w:val="18"/>
    </w:rPr>
  </w:style>
  <w:style w:type="paragraph" w:styleId="FootnoteReference">
    <w:name w:val="annotation text"/>
    <w:basedOn w:val="Normal"/>
    <w:link w:val="Hyperlink"/>
    <w:rsid w:val="00F61D69"/>
  </w:style>
  <w:style w:type="character" w:customStyle="1" w:styleId="Hyperlink">
    <w:name w:val="Comment Text Char"/>
    <w:basedOn w:val="DefaultParagraphFont"/>
    <w:link w:val="FootnoteReference"/>
    <w:rsid w:val="00F61D69"/>
    <w:rPr>
      <w:rFonts w:ascii="Times New Roman" w:hAnsi="Times New Roman"/>
    </w:rPr>
  </w:style>
  <w:style w:type="paragraph" w:styleId="CommentReference">
    <w:name w:val="annotation subject"/>
    <w:basedOn w:val="FootnoteReference"/>
    <w:next w:val="FootnoteReference"/>
    <w:link w:val="CommentText"/>
    <w:rsid w:val="00F61D69"/>
    <w:rPr>
      <w:b/>
      <w:bCs/>
      <w:sz w:val="20"/>
      <w:szCs w:val="20"/>
    </w:rPr>
  </w:style>
  <w:style w:type="character" w:customStyle="1" w:styleId="CommentText">
    <w:name w:val="Comment Subject Char"/>
    <w:basedOn w:val="Hyperlink"/>
    <w:link w:val="CommentReference"/>
    <w:rsid w:val="00F61D69"/>
    <w:rPr>
      <w:rFonts w:ascii="Times New Roman" w:hAnsi="Times New Roman"/>
      <w:b/>
      <w:bCs/>
      <w:sz w:val="20"/>
      <w:szCs w:val="20"/>
    </w:rPr>
  </w:style>
  <w:style w:type="character" w:styleId="CommentTextChar">
    <w:name w:val="Placeholder Text"/>
    <w:basedOn w:val="DefaultParagraphFont"/>
    <w:rsid w:val="00C628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42F55-6283-452B-AA09-AEB47C6A2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Freer</dc:creator>
  <cp:keywords/>
  <cp:lastModifiedBy>Ziegler, Laura A</cp:lastModifiedBy>
  <cp:revision>34</cp:revision>
  <cp:lastPrinted>2012-05-14T13:47:00Z</cp:lastPrinted>
  <dcterms:created xsi:type="dcterms:W3CDTF">2011-12-30T16:33:00Z</dcterms:created>
  <dcterms:modified xsi:type="dcterms:W3CDTF">2014-09-23T21:03:00Z</dcterms:modified>
</cp:coreProperties>
</file>